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电力工程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系专任教师（B03、B04岗位）</w:t>
      </w:r>
    </w:p>
    <w:p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kern w:val="0"/>
          <w:sz w:val="32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专业测试方案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一、专业测试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专业测试满分100分。主要测评应聘者适应岗位所要求的专业技能，专业测试时间不超过40分钟。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王老师 18892319530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二、专业测试时间、地点</w:t>
      </w:r>
    </w:p>
    <w:p>
      <w:pPr>
        <w:widowControl w:val="0"/>
        <w:numPr>
          <w:ilvl w:val="0"/>
          <w:numId w:val="1"/>
        </w:numPr>
        <w:tabs>
          <w:tab w:val="left" w:pos="312"/>
        </w:tabs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测试时间:2023年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日下午14：00开始。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候考室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崇实楼二楼PLC及其应用实训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室1（C212）。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测试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地点：崇实楼二楼控制技术实训室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C216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 xml:space="preserve"> 三、专业测试内容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1. （50分）熟练使用AutoCAD绘图软件绘制图1三相交流异步电动机</w:t>
      </w:r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  <w:t>双重互锁正反转控制</w:t>
      </w:r>
      <w:r>
        <w:rPr>
          <w:rFonts w:hint="eastAsia" w:ascii="仿宋_GB2312" w:hAnsi="仿宋_GB2312" w:eastAsia="仿宋_GB2312" w:cs="仿宋_GB2312"/>
          <w:sz w:val="32"/>
          <w:szCs w:val="32"/>
        </w:rPr>
        <w:t>电路（无需计算长度），绘制完请将图保存在D盘并注明考位号，例如D：\1号。注：测试计算机系统为Windows10系统，绘图软件使用AutoCAD2014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  <w:r>
        <w:rPr>
          <w:rFonts w:ascii="Calibri" w:hAnsi="Calibri" w:eastAsia="宋体" w:cs="宋体"/>
          <w:kern w:val="2"/>
          <w:sz w:val="24"/>
          <w:szCs w:val="24"/>
          <w:lang w:val="en-US" w:eastAsia="zh-CN" w:bidi="ar-SA"/>
        </w:rPr>
        <w:pict>
          <v:shape id="图片 1" o:spid="_x0000_s1026" type="#_x0000_t75" style="height:323.3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44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图1：三相交流异步</w:t>
      </w:r>
      <w:r>
        <w:rPr>
          <w:rFonts w:ascii="宋体" w:hAnsi="宋体"/>
          <w:sz w:val="24"/>
        </w:rPr>
        <w:t>电</w:t>
      </w:r>
      <w:r>
        <w:rPr>
          <w:rFonts w:hint="eastAsia" w:ascii="宋体" w:hAnsi="宋体"/>
          <w:sz w:val="24"/>
        </w:rPr>
        <w:t>动机</w:t>
      </w:r>
      <w:r>
        <w:rPr>
          <w:rFonts w:ascii="Arial" w:hAnsi="Arial" w:cs="Arial"/>
          <w:color w:val="191919"/>
          <w:sz w:val="24"/>
          <w:shd w:val="clear" w:color="auto" w:fill="FFFFFF"/>
        </w:rPr>
        <w:t>双重互锁正反转控制电路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2. （50分）熟练使用电工工具依据《电气装置安装工程低压电器施工及验收规范》GB50254-2014标准在电工实训板上完成上图具有短路和过载保护的线路安装接线，控制电路使用蓝色，所有线路不需要安装号码管。工具和设备如下表：</w:t>
      </w:r>
    </w:p>
    <w:p>
      <w:pPr>
        <w:spacing w:line="44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表1：工具和材料清单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727"/>
        <w:gridCol w:w="2100"/>
        <w:gridCol w:w="1423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序号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名称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数量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单位</w:t>
            </w:r>
          </w:p>
        </w:tc>
        <w:tc>
          <w:tcPr>
            <w:tcW w:w="145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等线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等线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十字螺丝刀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把</w:t>
            </w:r>
          </w:p>
        </w:tc>
        <w:tc>
          <w:tcPr>
            <w:tcW w:w="1455" w:type="dxa"/>
            <w:vAlign w:val="top"/>
          </w:tcPr>
          <w:p>
            <w:pPr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2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一字螺丝刀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把</w:t>
            </w:r>
          </w:p>
        </w:tc>
        <w:tc>
          <w:tcPr>
            <w:tcW w:w="1455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3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数字万用表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块</w:t>
            </w:r>
          </w:p>
        </w:tc>
        <w:tc>
          <w:tcPr>
            <w:tcW w:w="1455" w:type="dxa"/>
            <w:vAlign w:val="top"/>
          </w:tcPr>
          <w:p>
            <w:pPr>
              <w:adjustRightInd w:val="0"/>
              <w:snapToGrid w:val="0"/>
              <w:jc w:val="lef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4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剥线钳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把</w:t>
            </w:r>
          </w:p>
        </w:tc>
        <w:tc>
          <w:tcPr>
            <w:tcW w:w="1455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5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尖嘴钳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把</w:t>
            </w:r>
          </w:p>
        </w:tc>
        <w:tc>
          <w:tcPr>
            <w:tcW w:w="1455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6</w:t>
            </w:r>
          </w:p>
        </w:tc>
        <w:tc>
          <w:tcPr>
            <w:tcW w:w="272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单股铝芯导线</w:t>
            </w:r>
          </w:p>
        </w:tc>
        <w:tc>
          <w:tcPr>
            <w:tcW w:w="2100" w:type="dxa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黄、绿、红、蓝四色2.5mm</w:t>
            </w:r>
            <w:r>
              <w:rPr>
                <w:rFonts w:hint="eastAsia" w:ascii="宋体" w:hAnsi="宋体" w:eastAsia="等线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eastAsia="等线"/>
                <w:kern w:val="0"/>
                <w:sz w:val="24"/>
              </w:rPr>
              <w:t>，每色若干</w:t>
            </w:r>
          </w:p>
        </w:tc>
        <w:tc>
          <w:tcPr>
            <w:tcW w:w="1423" w:type="dxa"/>
            <w:vAlign w:val="top"/>
          </w:tcPr>
          <w:p>
            <w:pPr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</w:tbl>
    <w:p>
      <w:pPr>
        <w:spacing w:line="500" w:lineRule="exact"/>
        <w:jc w:val="center"/>
        <w:rPr>
          <w:sz w:val="24"/>
        </w:rPr>
      </w:pPr>
      <w:r>
        <w:rPr>
          <w:rFonts w:hint="eastAsia"/>
          <w:sz w:val="24"/>
        </w:rPr>
        <w:t>表2：设备清单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93"/>
        <w:gridCol w:w="2723"/>
        <w:gridCol w:w="1000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名称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型号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等线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等线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三相漏电开关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kern w:val="0"/>
                <w:sz w:val="24"/>
              </w:rPr>
              <w:t>DZ47LE-32-16A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三相熔断器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kern w:val="0"/>
                <w:sz w:val="24"/>
              </w:rPr>
              <w:t>RT18-32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2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交流接触器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kern w:val="0"/>
                <w:sz w:val="24"/>
              </w:rPr>
              <w:t>CJ</w:t>
            </w:r>
            <w:r>
              <w:rPr>
                <w:rFonts w:hint="eastAsia" w:ascii="宋体" w:hAnsi="宋体" w:eastAsia="等线"/>
                <w:kern w:val="0"/>
                <w:sz w:val="24"/>
              </w:rPr>
              <w:t>X2-0910</w:t>
            </w:r>
            <w:r>
              <w:rPr>
                <w:rFonts w:ascii="宋体" w:hAnsi="宋体" w:eastAsia="等线"/>
                <w:kern w:val="0"/>
                <w:sz w:val="24"/>
              </w:rPr>
              <w:t xml:space="preserve"> AC380V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kern w:val="0"/>
                <w:sz w:val="24"/>
              </w:rPr>
              <w:t>3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4</w:t>
            </w:r>
          </w:p>
        </w:tc>
        <w:tc>
          <w:tcPr>
            <w:tcW w:w="2693" w:type="dxa"/>
            <w:vAlign w:val="center"/>
          </w:tcPr>
          <w:p>
            <w:pPr>
              <w:pStyle w:val="2"/>
              <w:shd w:val="clear" w:color="auto" w:fill="FFFFFF"/>
              <w:adjustRightInd w:val="0"/>
              <w:snapToGrid w:val="0"/>
              <w:spacing w:before="0" w:beforeAutospacing="0" w:after="0" w:afterAutospacing="0" w:line="440" w:lineRule="exact"/>
              <w:jc w:val="center"/>
              <w:outlineLvl w:val="0"/>
              <w:rPr>
                <w:rFonts w:ascii="等线" w:hAnsi="等线" w:eastAsia="等线"/>
                <w:b w:val="0"/>
                <w:kern w:val="0"/>
                <w:sz w:val="24"/>
                <w:szCs w:val="24"/>
              </w:rPr>
            </w:pPr>
            <w:r>
              <w:rPr>
                <w:rFonts w:ascii="等线" w:hAnsi="等线" w:eastAsia="等线"/>
                <w:b w:val="0"/>
                <w:color w:val="000000"/>
                <w:sz w:val="24"/>
                <w:szCs w:val="24"/>
              </w:rPr>
              <w:t>交流接触器辅助触头组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color w:val="000000"/>
                <w:kern w:val="0"/>
                <w:sz w:val="24"/>
              </w:rPr>
              <w:t>F4-11 22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kern w:val="0"/>
                <w:sz w:val="24"/>
              </w:rPr>
              <w:t>3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5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热继电器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ascii="宋体" w:hAnsi="宋体" w:eastAsia="等线"/>
                <w:kern w:val="0"/>
                <w:sz w:val="24"/>
              </w:rPr>
              <w:t>JR16-20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6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综合支架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eastAsia="等线"/>
                <w:kern w:val="0"/>
                <w:szCs w:val="21"/>
              </w:rPr>
            </w:pPr>
            <w:r>
              <w:rPr>
                <w:rFonts w:hint="eastAsia" w:ascii="宋体" w:hAnsi="宋体" w:eastAsia="等线"/>
                <w:kern w:val="0"/>
                <w:szCs w:val="21"/>
              </w:rPr>
              <w:t>内置按钮4只、指示灯4只、急停1只、转换开关1只， LS2-2  2只、3只大功率电阻电阻，2只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7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三相异步电动机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eastAsia="等线"/>
                <w:kern w:val="0"/>
                <w:szCs w:val="21"/>
              </w:rPr>
            </w:pPr>
            <w:r>
              <w:rPr>
                <w:rFonts w:hint="eastAsia" w:ascii="宋体" w:hAnsi="宋体" w:eastAsia="等线"/>
                <w:kern w:val="0"/>
                <w:szCs w:val="21"/>
              </w:rPr>
              <w:t>PN(W):60、nN(r/min):1400、 UN(V)：三相 AC 380      IN(A):0.33、连接组别：△/Y。1台；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8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网孔板（元件已全安装好，考生无需安装）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774×580mm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等线"/>
                <w:kern w:val="0"/>
                <w:sz w:val="24"/>
              </w:rPr>
            </w:pPr>
            <w:r>
              <w:rPr>
                <w:rFonts w:hint="eastAsia" w:ascii="宋体" w:hAnsi="宋体" w:eastAsia="等线"/>
                <w:kern w:val="0"/>
                <w:sz w:val="24"/>
              </w:rPr>
              <w:t>1块</w:t>
            </w:r>
          </w:p>
        </w:tc>
        <w:tc>
          <w:tcPr>
            <w:tcW w:w="1289" w:type="dxa"/>
            <w:vAlign w:val="top"/>
          </w:tcPr>
          <w:p>
            <w:pPr>
              <w:spacing w:line="500" w:lineRule="exact"/>
              <w:rPr>
                <w:rFonts w:ascii="等线" w:hAnsi="等线" w:eastAsia="等线"/>
                <w:kern w:val="0"/>
                <w:sz w:val="24"/>
              </w:rPr>
            </w:pPr>
          </w:p>
        </w:tc>
      </w:tr>
    </w:tbl>
    <w:p>
      <w:pPr>
        <w:widowControl w:val="0"/>
        <w:wordWrap/>
        <w:adjustRightInd/>
        <w:snapToGrid/>
        <w:spacing w:before="0" w:after="0" w:line="560" w:lineRule="exact"/>
        <w:ind w:left="0" w:leftChars="0" w:right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 xml:space="preserve">   四、专业测试流程及注意事项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专业测试人员携带身份证及相关证书原件，提前20分钟到达候考室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否则视为自动弃考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在测试开始前10分钟集中抽签决定考位。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测试开始前5分钟，由工作人员带领测试人员进入考场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 w:color="auto"/>
        </w:rPr>
        <w:t>对号入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800080"/>
          <w:lang w:val="en-US" w:eastAsia="zh-CN"/>
        </w:rPr>
        <w:t>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widowControl/>
        <w:jc w:val="lef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1"/>
    <w:multiLevelType w:val="singleLevel"/>
    <w:tmpl w:val="00000001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36474070">
    <w:nsid w:val="736C3FD6"/>
    <w:multiLevelType w:val="singleLevel"/>
    <w:tmpl w:val="736C3FD6"/>
    <w:lvl w:ilvl="0" w:tentative="1">
      <w:start w:val="1"/>
      <w:numFmt w:val="decimal"/>
      <w:suff w:val="space"/>
      <w:lvlText w:val="%1."/>
      <w:lvlJc w:val="left"/>
    </w:lvl>
  </w:abstractNum>
  <w:num w:numId="1">
    <w:abstractNumId w:val="193647407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Yjk5ODM0YmMxOWJiYWQyNDU4MGIzYWRmYTA0ZmI5NDc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qFormat="1" w:unhideWhenUsed="0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paragraph" w:styleId="4">
    <w:name w:val="annotation text"/>
    <w:basedOn w:val="1"/>
    <w:link w:val="18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5">
    <w:name w:val="Balloon Text"/>
    <w:basedOn w:val="1"/>
    <w:link w:val="15"/>
    <w:qFormat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纯文本1"/>
    <w:basedOn w:val="1"/>
    <w:next w:val="1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 w:cs="Times New Roman"/>
      <w:kern w:val="0"/>
      <w:sz w:val="24"/>
      <w:szCs w:val="20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3 Char"/>
    <w:basedOn w:val="9"/>
    <w:link w:val="3"/>
    <w:qFormat/>
    <w:uiPriority w:val="9"/>
    <w:rPr>
      <w:b/>
      <w:bCs/>
      <w:sz w:val="32"/>
      <w:szCs w:val="32"/>
    </w:rPr>
  </w:style>
  <w:style w:type="character" w:customStyle="1" w:styleId="18">
    <w:name w:val="批注文字 Char"/>
    <w:basedOn w:val="9"/>
    <w:link w:val="4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168</Words>
  <Characters>962</Characters>
  <Lines>8</Lines>
  <Paragraphs>2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2023-08-10T13:15:00Z</dcterms:created>
  <dc:creator>Administrator</dc:creator>
  <cp:lastModifiedBy>杨芳</cp:lastModifiedBy>
  <dcterms:modified xsi:type="dcterms:W3CDTF">2023-08-12T14:41:51Z</dcterms:modified>
  <dc:title>电力工程系专任教师专业测试方案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C06BFDF79C1540409F52EFA341BD70EB</vt:lpwstr>
  </property>
  <property fmtid="{D5CDD505-2E9C-101B-9397-08002B2CF9AE}" pid="3" name="KSOProductBuildVer">
    <vt:lpwstr>2052-9.1.0.4688</vt:lpwstr>
  </property>
</Properties>
</file>